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1" w:rsidRPr="006B1498" w:rsidRDefault="000F5332">
      <w:pPr>
        <w:rPr>
          <w:b/>
        </w:rPr>
      </w:pPr>
      <w:r w:rsidRPr="006B1498">
        <w:rPr>
          <w:b/>
        </w:rPr>
        <w:t>Ćwiczenia 10</w:t>
      </w:r>
      <w:r w:rsidR="008E563A" w:rsidRPr="006B1498">
        <w:rPr>
          <w:b/>
        </w:rPr>
        <w:t>: regresja</w:t>
      </w:r>
    </w:p>
    <w:p w:rsidR="000C4FF9" w:rsidRPr="006B1498" w:rsidRDefault="00197F33" w:rsidP="00197F33">
      <w:pPr>
        <w:pStyle w:val="Akapitzlist"/>
        <w:numPr>
          <w:ilvl w:val="0"/>
          <w:numId w:val="1"/>
        </w:numPr>
      </w:pPr>
      <w:r w:rsidRPr="006B1498">
        <w:t>Aby ocenić stężenie protein w roztworze dodaje się pewien odczynnik, który powoduje zabarwienie roztworu na niebiesko. Intensywność barwy jest proporcjonalna do stężenia protein. Zaciemnienie fiolek mierzy się poprzez pomiar gęstości optycznej. Wyniki dl</w:t>
      </w:r>
      <w:r w:rsidR="00081909" w:rsidRPr="006B1498">
        <w:t>a</w:t>
      </w:r>
      <w:r w:rsidRPr="006B1498">
        <w:t xml:space="preserve"> kilku pomiarów przedstawione są poniżej. Oblicz parametry regresji i uzupełnij brakujące dane.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stężenie          </w:t>
      </w:r>
      <w:r w:rsidR="000E29D5" w:rsidRPr="006B1498">
        <w:t xml:space="preserve">     </w:t>
      </w:r>
      <w:r w:rsidRPr="006B1498">
        <w:t xml:space="preserve"> </w:t>
      </w:r>
      <w:r w:rsidR="000E29D5" w:rsidRPr="006B1498">
        <w:t>gęstość optyczna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(mikrogramy</w:t>
      </w:r>
      <w:r w:rsidR="000E29D5" w:rsidRPr="006B1498">
        <w:t xml:space="preserve">)            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        0                         </w:t>
      </w:r>
      <w:proofErr w:type="spellStart"/>
      <w:r w:rsidRPr="006B1498">
        <w:t>0</w:t>
      </w:r>
      <w:proofErr w:type="spellEnd"/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        4                         0.017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        8                         0.087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       12                        0.116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                                   16                        0.172</w:t>
      </w:r>
    </w:p>
    <w:p w:rsidR="00197F33" w:rsidRPr="006B1498" w:rsidRDefault="00197F33" w:rsidP="00197F33">
      <w:pPr>
        <w:spacing w:after="0"/>
        <w:ind w:left="360"/>
      </w:pPr>
      <w:r w:rsidRPr="006B1498">
        <w:t xml:space="preserve">        </w:t>
      </w:r>
      <w:r w:rsidR="0095226D" w:rsidRPr="006B1498">
        <w:t xml:space="preserve">                             nieznane 1      </w:t>
      </w:r>
      <w:r w:rsidRPr="006B1498">
        <w:t xml:space="preserve">         0.097</w:t>
      </w:r>
    </w:p>
    <w:p w:rsidR="004D0080" w:rsidRPr="006B1498" w:rsidRDefault="00197F33" w:rsidP="00197F33">
      <w:pPr>
        <w:spacing w:after="0"/>
        <w:ind w:left="360"/>
      </w:pPr>
      <w:r w:rsidRPr="006B1498">
        <w:t xml:space="preserve">            </w:t>
      </w:r>
      <w:r w:rsidR="0095226D" w:rsidRPr="006B1498">
        <w:t xml:space="preserve">                         nieznane</w:t>
      </w:r>
      <w:r w:rsidRPr="006B1498">
        <w:t xml:space="preserve"> 2               0.123</w:t>
      </w:r>
    </w:p>
    <w:p w:rsidR="00197F33" w:rsidRPr="006B1498" w:rsidRDefault="00916688" w:rsidP="000E29D5">
      <w:pPr>
        <w:pStyle w:val="Akapitzlist"/>
        <w:numPr>
          <w:ilvl w:val="0"/>
          <w:numId w:val="1"/>
        </w:numPr>
      </w:pPr>
      <w:r w:rsidRPr="006B1498">
        <w:t>Na pewnej ulicy zmierzono koncentrację tlenku węgla w zależności od ilości samochodów przejeżdżających w ciągu godziny. Wyniki przedstawione są w tabeli poniżej. Czy jest jakiś związek między ilością samochodów i koncentracją CO? Jak</w:t>
      </w:r>
      <w:r w:rsidR="004A5DBB" w:rsidRPr="006B1498">
        <w:t>a jest oczekiwana koncentracja CO jeśli drogą będzie przejeżdżać 2500 samochodów na godzinę?</w:t>
      </w:r>
    </w:p>
    <w:tbl>
      <w:tblPr>
        <w:tblStyle w:val="Tabela-Siatka"/>
        <w:tblW w:w="0" w:type="auto"/>
        <w:tblInd w:w="1162" w:type="dxa"/>
        <w:tblLook w:val="04A0"/>
      </w:tblPr>
      <w:tblGrid>
        <w:gridCol w:w="3067"/>
        <w:gridCol w:w="5059"/>
      </w:tblGrid>
      <w:tr w:rsidR="004A5DBB" w:rsidRPr="006B1498" w:rsidTr="007C27A4">
        <w:tc>
          <w:tcPr>
            <w:tcW w:w="0" w:type="auto"/>
            <w:vAlign w:val="center"/>
          </w:tcPr>
          <w:p w:rsidR="004A5DBB" w:rsidRPr="006B1498" w:rsidRDefault="004A5DBB" w:rsidP="007C27A4">
            <w:pPr>
              <w:contextualSpacing/>
              <w:jc w:val="center"/>
            </w:pPr>
            <w:r w:rsidRPr="006B1498">
              <w:t>Ilość samochodów na godzinę</w:t>
            </w:r>
          </w:p>
        </w:tc>
        <w:tc>
          <w:tcPr>
            <w:tcW w:w="0" w:type="auto"/>
            <w:vAlign w:val="center"/>
          </w:tcPr>
          <w:p w:rsidR="004A5DBB" w:rsidRPr="006B1498" w:rsidRDefault="006B1498" w:rsidP="007C27A4">
            <w:pPr>
              <w:contextualSpacing/>
              <w:jc w:val="center"/>
            </w:pPr>
            <w:r w:rsidRPr="006B1498">
              <w:t>k</w:t>
            </w:r>
            <w:r w:rsidR="004A5DBB" w:rsidRPr="006B1498">
              <w:t xml:space="preserve">oncentracja CO w </w:t>
            </w:r>
            <w:proofErr w:type="spellStart"/>
            <w:r w:rsidRPr="006B1498">
              <w:t>cześciach</w:t>
            </w:r>
            <w:proofErr w:type="spellEnd"/>
            <w:r w:rsidRPr="006B1498">
              <w:t xml:space="preserve"> na milion</w:t>
            </w:r>
          </w:p>
        </w:tc>
      </w:tr>
      <w:tr w:rsidR="004A5DBB" w:rsidRPr="006B1498" w:rsidTr="007C27A4">
        <w:tc>
          <w:tcPr>
            <w:tcW w:w="0" w:type="auto"/>
          </w:tcPr>
          <w:p w:rsidR="004A5DBB" w:rsidRPr="006B1498" w:rsidRDefault="00AB35F1" w:rsidP="007C27A4">
            <w:pPr>
              <w:contextualSpacing/>
            </w:pPr>
            <w:r w:rsidRPr="006B1498">
              <w:t xml:space="preserve">   1000</w:t>
            </w:r>
            <w:r w:rsidR="004A5DBB" w:rsidRPr="006B1498">
              <w:tab/>
            </w:r>
          </w:p>
        </w:tc>
        <w:tc>
          <w:tcPr>
            <w:tcW w:w="0" w:type="auto"/>
          </w:tcPr>
          <w:p w:rsidR="004A5DBB" w:rsidRPr="006B1498" w:rsidRDefault="004A5DBB" w:rsidP="007C27A4">
            <w:pPr>
              <w:contextualSpacing/>
            </w:pPr>
            <w:r w:rsidRPr="006B1498">
              <w:t>9.0     6.8     7.7</w:t>
            </w:r>
            <w:r w:rsidRPr="006B1498">
              <w:tab/>
            </w:r>
            <w:r w:rsidRPr="006B1498">
              <w:tab/>
            </w:r>
            <w:r w:rsidRPr="006B1498">
              <w:tab/>
            </w:r>
            <w:r w:rsidRPr="006B1498">
              <w:tab/>
            </w:r>
            <w:r w:rsidRPr="006B1498">
              <w:tab/>
              <w:t xml:space="preserve">      </w:t>
            </w:r>
          </w:p>
        </w:tc>
      </w:tr>
      <w:tr w:rsidR="004A5DBB" w:rsidRPr="006B1498" w:rsidTr="007C27A4">
        <w:tc>
          <w:tcPr>
            <w:tcW w:w="0" w:type="auto"/>
          </w:tcPr>
          <w:p w:rsidR="004A5DBB" w:rsidRPr="006B1498" w:rsidRDefault="004A5DBB" w:rsidP="007C27A4">
            <w:pPr>
              <w:contextualSpacing/>
            </w:pPr>
            <w:r w:rsidRPr="006B1498">
              <w:t xml:space="preserve">   1</w:t>
            </w:r>
            <w:r w:rsidR="00AB35F1" w:rsidRPr="006B1498">
              <w:t>500</w:t>
            </w:r>
          </w:p>
        </w:tc>
        <w:tc>
          <w:tcPr>
            <w:tcW w:w="0" w:type="auto"/>
          </w:tcPr>
          <w:p w:rsidR="004A5DBB" w:rsidRPr="006B1498" w:rsidRDefault="004A5DBB" w:rsidP="007C27A4">
            <w:pPr>
              <w:contextualSpacing/>
            </w:pPr>
            <w:r w:rsidRPr="006B1498">
              <w:t>9.6     6.8   11.3</w:t>
            </w:r>
            <w:r w:rsidRPr="006B1498">
              <w:tab/>
            </w:r>
            <w:r w:rsidRPr="006B1498">
              <w:tab/>
            </w:r>
            <w:r w:rsidRPr="006B1498">
              <w:tab/>
            </w:r>
            <w:r w:rsidRPr="006B1498">
              <w:tab/>
            </w:r>
            <w:r w:rsidRPr="006B1498">
              <w:tab/>
              <w:t xml:space="preserve">      </w:t>
            </w:r>
          </w:p>
        </w:tc>
      </w:tr>
      <w:tr w:rsidR="004A5DBB" w:rsidRPr="006B1498" w:rsidTr="007C27A4">
        <w:tc>
          <w:tcPr>
            <w:tcW w:w="0" w:type="auto"/>
          </w:tcPr>
          <w:p w:rsidR="004A5DBB" w:rsidRPr="006B1498" w:rsidRDefault="00AB35F1" w:rsidP="007C27A4">
            <w:pPr>
              <w:contextualSpacing/>
            </w:pPr>
            <w:r w:rsidRPr="006B1498">
              <w:t xml:space="preserve">   2000</w:t>
            </w:r>
            <w:r w:rsidR="004A5DBB" w:rsidRPr="006B1498">
              <w:t xml:space="preserve"> </w:t>
            </w:r>
          </w:p>
        </w:tc>
        <w:tc>
          <w:tcPr>
            <w:tcW w:w="0" w:type="auto"/>
          </w:tcPr>
          <w:p w:rsidR="004A5DBB" w:rsidRPr="006B1498" w:rsidRDefault="004A5DBB" w:rsidP="007C27A4">
            <w:pPr>
              <w:contextualSpacing/>
            </w:pPr>
            <w:r w:rsidRPr="006B1498">
              <w:t xml:space="preserve">12.3   11.8                                                            </w:t>
            </w:r>
          </w:p>
        </w:tc>
      </w:tr>
      <w:tr w:rsidR="004A5DBB" w:rsidRPr="006B1498" w:rsidTr="007C27A4">
        <w:tc>
          <w:tcPr>
            <w:tcW w:w="0" w:type="auto"/>
          </w:tcPr>
          <w:p w:rsidR="004A5DBB" w:rsidRPr="006B1498" w:rsidRDefault="00AB35F1" w:rsidP="007C27A4">
            <w:pPr>
              <w:contextualSpacing/>
            </w:pPr>
            <w:r w:rsidRPr="006B1498">
              <w:t xml:space="preserve">   3000</w:t>
            </w:r>
            <w:r w:rsidR="004A5DBB" w:rsidRPr="006B1498">
              <w:t xml:space="preserve">   </w:t>
            </w:r>
          </w:p>
        </w:tc>
        <w:tc>
          <w:tcPr>
            <w:tcW w:w="0" w:type="auto"/>
          </w:tcPr>
          <w:p w:rsidR="004A5DBB" w:rsidRPr="006B1498" w:rsidRDefault="004A5DBB" w:rsidP="007C27A4">
            <w:pPr>
              <w:contextualSpacing/>
            </w:pPr>
            <w:r w:rsidRPr="006B1498">
              <w:t>20.7   19.2  21.6   20.6</w:t>
            </w:r>
            <w:r w:rsidRPr="006B1498">
              <w:tab/>
            </w:r>
            <w:r w:rsidRPr="006B1498">
              <w:tab/>
            </w:r>
            <w:r w:rsidRPr="006B1498">
              <w:tab/>
            </w:r>
          </w:p>
        </w:tc>
      </w:tr>
    </w:tbl>
    <w:p w:rsidR="00FC59BD" w:rsidRPr="006B1498" w:rsidRDefault="00FC59BD" w:rsidP="00FC59BD">
      <w:pPr>
        <w:pStyle w:val="Akapitzlist"/>
      </w:pPr>
    </w:p>
    <w:p w:rsidR="004A5DBB" w:rsidRPr="006B1498" w:rsidRDefault="00FC59BD" w:rsidP="00FC59BD">
      <w:pPr>
        <w:pStyle w:val="Akapitzlist"/>
        <w:numPr>
          <w:ilvl w:val="0"/>
          <w:numId w:val="1"/>
        </w:numPr>
      </w:pPr>
      <w:r w:rsidRPr="006B1498">
        <w:t>Współczynnik śmiertelności niemowląt podany jest w tabeli poniżej. Oblicz prostą regresji i wartości oczekiwane w roku 1980 i 2005. Porównaj tę ostatnią wartość z wartością rzeczywistą, która wynosi 6,86.</w:t>
      </w:r>
    </w:p>
    <w:p w:rsidR="00FC59BD" w:rsidRPr="006B1498" w:rsidRDefault="00FC59BD" w:rsidP="003F108D">
      <w:pPr>
        <w:pStyle w:val="Akapitzlist"/>
        <w:numPr>
          <w:ilvl w:val="0"/>
          <w:numId w:val="1"/>
        </w:numPr>
      </w:pPr>
      <w:r w:rsidRPr="006B1498">
        <w:rPr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113030</wp:posOffset>
            </wp:positionV>
            <wp:extent cx="2242185" cy="1492250"/>
            <wp:effectExtent l="19050" t="0" r="5715" b="0"/>
            <wp:wrapTopAndBottom/>
            <wp:docPr id="3" name="Obraz 0" descr="skanuj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04.jpg"/>
                    <pic:cNvPicPr/>
                  </pic:nvPicPr>
                  <pic:blipFill>
                    <a:blip r:embed="rId5" cstate="print"/>
                    <a:srcRect t="5988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08D" w:rsidRPr="006B1498">
        <w:t xml:space="preserve">W pliku tabela10.sta znajdują się dane przedstawiające zależność czasu półtrwania </w:t>
      </w:r>
      <w:proofErr w:type="spellStart"/>
      <w:r w:rsidR="003F108D" w:rsidRPr="006B1498">
        <w:t>diazepanu</w:t>
      </w:r>
      <w:proofErr w:type="spellEnd"/>
      <w:r w:rsidR="003F108D" w:rsidRPr="006B1498">
        <w:t xml:space="preserve"> od wieku pacjentów. Sprawdź czy zależność między zmiennymi jest liniowa. Jeśli tak to oblicz parametry regresji i oszacuj czas półtrwania dla pacjentów w wieku 70 i 20 lat.</w:t>
      </w:r>
    </w:p>
    <w:p w:rsidR="002C28A1" w:rsidRPr="006B1498" w:rsidRDefault="002C28A1" w:rsidP="002C28A1">
      <w:pPr>
        <w:pStyle w:val="Akapitzlist"/>
      </w:pPr>
    </w:p>
    <w:p w:rsidR="00E51BC9" w:rsidRPr="006B1498" w:rsidRDefault="00E51BC9" w:rsidP="003F108D">
      <w:pPr>
        <w:pStyle w:val="Akapitzlist"/>
        <w:numPr>
          <w:ilvl w:val="0"/>
          <w:numId w:val="1"/>
        </w:numPr>
      </w:pPr>
      <w:r w:rsidRPr="006B1498">
        <w:lastRenderedPageBreak/>
        <w:t>W tabeli poniżej p</w:t>
      </w:r>
      <w:r w:rsidR="00BB4053" w:rsidRPr="006B1498">
        <w:t>rzedstawiono zależność ciśnienia</w:t>
      </w:r>
      <w:r w:rsidRPr="006B1498">
        <w:t xml:space="preserve"> skurczowego krwi od wieku. Sprawdź czy istnieje zależność liniowa między wiekiem i ciśnieniem krwi. Jeśli tak to </w:t>
      </w:r>
      <w:r w:rsidR="00ED708E" w:rsidRPr="006B1498">
        <w:t>określ przewidywaną wartość twojego ciśnienia krwi. Czy ta zależność jest prawdziwa także u osób, które przekroczyły 60 lat?</w:t>
      </w:r>
      <w:r w:rsidR="0029041C" w:rsidRPr="006B1498">
        <w:t xml:space="preserve"> Jakiego ciśnienia należałoby się spodziewać u 4-latków?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1105"/>
      </w:tblGrid>
      <w:tr w:rsidR="00E51BC9" w:rsidRPr="006B1498" w:rsidTr="00E51BC9">
        <w:tc>
          <w:tcPr>
            <w:tcW w:w="1021" w:type="dxa"/>
            <w:vAlign w:val="center"/>
          </w:tcPr>
          <w:p w:rsidR="00E51BC9" w:rsidRPr="006B1498" w:rsidRDefault="00E51BC9" w:rsidP="00375010">
            <w:pPr>
              <w:pStyle w:val="Nagwek2"/>
              <w:jc w:val="center"/>
              <w:rPr>
                <w:noProof w:val="0"/>
              </w:rPr>
            </w:pPr>
            <w:r w:rsidRPr="006B1498">
              <w:rPr>
                <w:noProof w:val="0"/>
              </w:rPr>
              <w:t>wiek</w:t>
            </w:r>
          </w:p>
        </w:tc>
        <w:tc>
          <w:tcPr>
            <w:tcW w:w="1105" w:type="dxa"/>
            <w:vAlign w:val="center"/>
          </w:tcPr>
          <w:p w:rsidR="00E51BC9" w:rsidRPr="006B1498" w:rsidRDefault="00E51BC9" w:rsidP="00E51BC9">
            <w:pPr>
              <w:jc w:val="center"/>
              <w:rPr>
                <w:b/>
              </w:rPr>
            </w:pPr>
            <w:r w:rsidRPr="006B1498">
              <w:rPr>
                <w:b/>
              </w:rPr>
              <w:t xml:space="preserve">Ciśnienie skurczowe (mm </w:t>
            </w:r>
            <w:proofErr w:type="spellStart"/>
            <w:r w:rsidRPr="006B1498">
              <w:rPr>
                <w:b/>
              </w:rPr>
              <w:t>Hg</w:t>
            </w:r>
            <w:proofErr w:type="spellEnd"/>
            <w:r w:rsidRPr="006B1498">
              <w:rPr>
                <w:b/>
              </w:rPr>
              <w:t>)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5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94,4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6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97,7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7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101,9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8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104,5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9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106,3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10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109,3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11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112,6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12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113,8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13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117,7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14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121,6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15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122,3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16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123,6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17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124,9</w:t>
            </w:r>
          </w:p>
        </w:tc>
      </w:tr>
      <w:tr w:rsidR="00E51BC9" w:rsidRPr="006B1498" w:rsidTr="00E51BC9">
        <w:trPr>
          <w:trHeight w:hRule="exact" w:val="284"/>
        </w:trPr>
        <w:tc>
          <w:tcPr>
            <w:tcW w:w="1021" w:type="dxa"/>
          </w:tcPr>
          <w:p w:rsidR="00E51BC9" w:rsidRPr="006B1498" w:rsidRDefault="00E51BC9" w:rsidP="00375010">
            <w:pPr>
              <w:jc w:val="center"/>
            </w:pPr>
            <w:r w:rsidRPr="006B1498">
              <w:t>18</w:t>
            </w:r>
          </w:p>
        </w:tc>
        <w:tc>
          <w:tcPr>
            <w:tcW w:w="1105" w:type="dxa"/>
          </w:tcPr>
          <w:p w:rsidR="00E51BC9" w:rsidRPr="006B1498" w:rsidRDefault="00E51BC9" w:rsidP="00375010">
            <w:pPr>
              <w:jc w:val="center"/>
            </w:pPr>
            <w:r w:rsidRPr="006B1498">
              <w:t>131,0</w:t>
            </w:r>
          </w:p>
        </w:tc>
      </w:tr>
    </w:tbl>
    <w:p w:rsidR="00FC59BD" w:rsidRPr="006B1498" w:rsidRDefault="00FC59BD" w:rsidP="00FC59BD">
      <w:pPr>
        <w:pStyle w:val="Akapitzlist"/>
      </w:pPr>
    </w:p>
    <w:sectPr w:rsidR="00FC59BD" w:rsidRPr="006B1498" w:rsidSect="004D0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A2"/>
    <w:multiLevelType w:val="hybridMultilevel"/>
    <w:tmpl w:val="BDE0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3B7"/>
    <w:multiLevelType w:val="hybridMultilevel"/>
    <w:tmpl w:val="440619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D4398E"/>
    <w:multiLevelType w:val="hybridMultilevel"/>
    <w:tmpl w:val="ECFC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3E51"/>
    <w:multiLevelType w:val="multilevel"/>
    <w:tmpl w:val="EFE246E4"/>
    <w:lvl w:ilvl="0">
      <w:start w:val="7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4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563A"/>
    <w:rsid w:val="00081909"/>
    <w:rsid w:val="000C4FF9"/>
    <w:rsid w:val="000D1E9B"/>
    <w:rsid w:val="000E1AB2"/>
    <w:rsid w:val="000E29D5"/>
    <w:rsid w:val="000F5332"/>
    <w:rsid w:val="00197F33"/>
    <w:rsid w:val="001C041B"/>
    <w:rsid w:val="0029041C"/>
    <w:rsid w:val="002C28A1"/>
    <w:rsid w:val="00331B48"/>
    <w:rsid w:val="00360F48"/>
    <w:rsid w:val="003F108D"/>
    <w:rsid w:val="003F4568"/>
    <w:rsid w:val="003F5CEC"/>
    <w:rsid w:val="004665FD"/>
    <w:rsid w:val="004A5DBB"/>
    <w:rsid w:val="004D0080"/>
    <w:rsid w:val="006324B0"/>
    <w:rsid w:val="0065601E"/>
    <w:rsid w:val="0068559D"/>
    <w:rsid w:val="006B1498"/>
    <w:rsid w:val="008E563A"/>
    <w:rsid w:val="00916688"/>
    <w:rsid w:val="0095226D"/>
    <w:rsid w:val="00A9398D"/>
    <w:rsid w:val="00AB35F1"/>
    <w:rsid w:val="00BB4053"/>
    <w:rsid w:val="00D35811"/>
    <w:rsid w:val="00D817A9"/>
    <w:rsid w:val="00E33F36"/>
    <w:rsid w:val="00E51BC9"/>
    <w:rsid w:val="00ED708E"/>
    <w:rsid w:val="00EE5BE5"/>
    <w:rsid w:val="00FB2603"/>
    <w:rsid w:val="00F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811"/>
  </w:style>
  <w:style w:type="paragraph" w:styleId="Nagwek2">
    <w:name w:val="heading 2"/>
    <w:basedOn w:val="Normalny"/>
    <w:next w:val="Normalny"/>
    <w:link w:val="Nagwek2Znak"/>
    <w:qFormat/>
    <w:rsid w:val="00E51B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5DBB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E51BC9"/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14</cp:revision>
  <cp:lastPrinted>2012-12-17T11:53:00Z</cp:lastPrinted>
  <dcterms:created xsi:type="dcterms:W3CDTF">2012-12-17T09:07:00Z</dcterms:created>
  <dcterms:modified xsi:type="dcterms:W3CDTF">2012-12-18T18:04:00Z</dcterms:modified>
</cp:coreProperties>
</file>